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ascii="Times New Roman" w:hAnsi="Times New Roman" w:eastAsia="宋体" w:cs="Times New Roman"/>
          <w:b/>
          <w:sz w:val="44"/>
          <w:szCs w:val="44"/>
        </w:rPr>
      </w:pPr>
    </w:p>
    <w:p>
      <w:pPr>
        <w:widowControl w:val="0"/>
        <w:spacing w:line="560" w:lineRule="exact"/>
        <w:jc w:val="center"/>
        <w:rPr>
          <w:rFonts w:ascii="Times New Roman" w:hAnsi="Times New Roman" w:eastAsia="宋体" w:cs="Times New Roman"/>
          <w:b/>
          <w:sz w:val="44"/>
          <w:szCs w:val="44"/>
        </w:rPr>
      </w:pPr>
    </w:p>
    <w:p>
      <w:pPr>
        <w:widowControl w:val="0"/>
        <w:spacing w:line="560" w:lineRule="exact"/>
        <w:jc w:val="center"/>
        <w:rPr>
          <w:rFonts w:ascii="Times New Roman" w:hAnsi="Times New Roman" w:eastAsia="宋体" w:cs="Times New Roman"/>
          <w:b/>
          <w:sz w:val="44"/>
          <w:szCs w:val="44"/>
        </w:rPr>
      </w:pPr>
    </w:p>
    <w:p>
      <w:pPr>
        <w:widowControl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2016-2020年湖南省普法工作先进个人</w:t>
      </w:r>
    </w:p>
    <w:p>
      <w:pPr>
        <w:widowControl w:val="0"/>
        <w:spacing w:line="240" w:lineRule="auto"/>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审  批  表</w:t>
      </w:r>
    </w:p>
    <w:p>
      <w:pPr>
        <w:widowControl w:val="0"/>
        <w:spacing w:line="560" w:lineRule="exact"/>
        <w:jc w:val="both"/>
        <w:rPr>
          <w:rFonts w:ascii="Times New Roman" w:hAnsi="Times New Roman" w:eastAsia="宋体" w:cs="Times New Roman"/>
          <w:sz w:val="44"/>
          <w:szCs w:val="44"/>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ind w:firstLine="2080" w:firstLineChars="650"/>
        <w:jc w:val="both"/>
        <w:rPr>
          <w:rFonts w:ascii="Times New Roman" w:hAnsi="Times New Roman" w:eastAsia="仿宋_GB2312" w:cs="Times New Roman"/>
          <w:sz w:val="32"/>
          <w:szCs w:val="32"/>
        </w:rPr>
      </w:pPr>
    </w:p>
    <w:p>
      <w:pPr>
        <w:widowControl w:val="0"/>
        <w:spacing w:line="240" w:lineRule="auto"/>
        <w:ind w:firstLine="2080" w:firstLineChars="65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mc:AlternateContent>
          <mc:Choice Requires="wps">
            <w:drawing>
              <wp:anchor distT="0" distB="0" distL="0" distR="0" simplePos="0" relativeHeight="1024" behindDoc="0" locked="0" layoutInCell="1" allowOverlap="1">
                <wp:simplePos x="0" y="0"/>
                <wp:positionH relativeFrom="column">
                  <wp:posOffset>2286000</wp:posOffset>
                </wp:positionH>
                <wp:positionV relativeFrom="paragraph">
                  <wp:posOffset>297180</wp:posOffset>
                </wp:positionV>
                <wp:extent cx="2057400" cy="0"/>
                <wp:effectExtent l="0" t="0" r="0" b="0"/>
                <wp:wrapNone/>
                <wp:docPr id="1026" name="直接连接符 12"/>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margin-left:180pt;margin-top:23.4pt;height:0pt;width:162pt;z-index:1024;mso-width-relative:page;mso-height-relative:page;" filled="f" stroked="t" coordsize="21600,21600" o:gfxdata="UEsDBAoAAAAAAIdO4kAAAAAAAAAAAAAAAAAEAAAAZHJzL1BLAwQUAAAACACHTuJAXxmAC9YAAAAJ&#10;AQAADwAAAGRycy9kb3ducmV2LnhtbE2PS0/DMBCE70j8B2uRuFTU7kNRlcbpAciNCwXEdRtvk4h4&#10;ncbuA349izjAcWdHM/MVm4vv1YnG2AW2MJsaUMR1cB03Fl5fqrsVqJiQHfaBycInRdiU11cF5i6c&#10;+ZlO29QoCeGYo4U2pSHXOtYteYzTMBDLbx9Gj0nOsdFuxLOE+17Pjcm0x46locWB7luqP7ZHbyFW&#10;b3Sovib1xLwvmkDzw8PTI1p7ezMza1CJLunPDD/zZTqUsmkXjuyi6i0sMiMsycIyEwQxZKulCLtf&#10;QZeF/k9QfgNQSwMEFAAAAAgAh07iQMrfke30AQAA5gMAAA4AAABkcnMvZTJvRG9jLnhtbK1TS44T&#10;MRDdI3EHy3vSnRYZoJXOLCYMGwQjAQeo2O60Jf/kcn6X4AJI7GDFkj23YTgGZXcmA8MmC3rhLper&#10;XtV7Ls8v99awrYqovev4dFJzppzwUrt1xz+8v37ynDNM4CQY71THDwr55eLxo/kutKrxgzdSRUYg&#10;Dttd6PiQUmirCsWgLODEB+XosPfRQqJtXFcywo7Qramaur6odj7KEL1QiORdjof8iBjPAfR9r4Va&#10;erGxyqURNSoDiSjhoAPyRem275VIb/seVWKm48Q0lZWKkL3Ka7WYQ7uOEAYtji3AOS084GRBOyp6&#10;glpCAraJ+h8oq0X06Ps0Ed5WI5GiCLGY1g+0eTdAUIULSY3hJDr+P1jxZnsTmZY0CXVzwZkDS3d+&#10;++n7z49ffv34TOvtt69s2mShdgFbir9yN/G4w3ATM+t9H23+Ex+2L+IeTuKqfWKCnE09e/a0Jt3F&#10;3Vl1nxgiplfKW5aNjhvtMm9oYfsaExWj0LuQ7DaO7Tr+YtbMCA5oCHu6fDJtICLo1iUXvdHyWhuT&#10;MzCuV1cmsi3kQShfpkS4f4XlIkvAYYwrR+OIRL9xkhKgHRTIl06ydAiklKM3wnMzVknOjKInla0S&#10;mUCbcyKpCeOol6zvqGi2Vl4eitDFT9dfuj2Oap6vP/cl+/55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xmAC9YAAAAJAQAADwAAAAAAAAABACAAAAAiAAAAZHJzL2Rvd25yZXYueG1sUEsBAhQA&#10;FAAAAAgAh07iQMrfke30AQAA5gMAAA4AAAAAAAAAAQAgAAAAJQEAAGRycy9lMm9Eb2MueG1sUEsF&#10;BgAAAAAGAAYAWQEAAIsFA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报送单位</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吉首大学</w:t>
      </w:r>
    </w:p>
    <w:p>
      <w:pPr>
        <w:widowControl w:val="0"/>
        <w:spacing w:line="240" w:lineRule="auto"/>
        <w:ind w:firstLine="2080" w:firstLineChars="6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0" distR="0" simplePos="0" relativeHeight="1024" behindDoc="0" locked="0" layoutInCell="1" allowOverlap="1">
                <wp:simplePos x="0" y="0"/>
                <wp:positionH relativeFrom="column">
                  <wp:posOffset>2286000</wp:posOffset>
                </wp:positionH>
                <wp:positionV relativeFrom="paragraph">
                  <wp:posOffset>297180</wp:posOffset>
                </wp:positionV>
                <wp:extent cx="2057400" cy="0"/>
                <wp:effectExtent l="0" t="0" r="0" b="0"/>
                <wp:wrapNone/>
                <wp:docPr id="1027" name="直接连接符 9"/>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9" o:spid="_x0000_s1026" o:spt="20" style="position:absolute;left:0pt;margin-left:180pt;margin-top:23.4pt;height:0pt;width:162pt;z-index:1024;mso-width-relative:page;mso-height-relative:page;" filled="f" stroked="t" coordsize="21600,21600" o:gfxdata="UEsDBAoAAAAAAIdO4kAAAAAAAAAAAAAAAAAEAAAAZHJzL1BLAwQUAAAACACHTuJAXxmAC9YAAAAJ&#10;AQAADwAAAGRycy9kb3ducmV2LnhtbE2PS0/DMBCE70j8B2uRuFTU7kNRlcbpAciNCwXEdRtvk4h4&#10;ncbuA349izjAcWdHM/MVm4vv1YnG2AW2MJsaUMR1cB03Fl5fqrsVqJiQHfaBycInRdiU11cF5i6c&#10;+ZlO29QoCeGYo4U2pSHXOtYteYzTMBDLbx9Gj0nOsdFuxLOE+17Pjcm0x46locWB7luqP7ZHbyFW&#10;b3Sovib1xLwvmkDzw8PTI1p7ezMza1CJLunPDD/zZTqUsmkXjuyi6i0sMiMsycIyEwQxZKulCLtf&#10;QZeF/k9QfgNQSwMEFAAAAAgAh07iQEtMUrj0AQAA5QMAAA4AAABkcnMvZTJvRG9jLnhtbK1TzW4T&#10;MRC+I/EOlu9ktxGhdJVNDw3lgqAS8AAT25u15D95nGzyErwAEjc4ceTO27Q8BmNvmkK55MAevOPx&#10;zDfzfR7PL3fWsK2KqL1r+dmk5kw54aV265Z//HD97CVnmMBJMN6plu8V8svF0yfzITRq6ntvpIqM&#10;QBw2Q2h5n1JoqgpFryzgxAfl6LDz0UKibVxXMsJA6NZU07p+UQ0+yhC9UIjkXY6H/IAYTwH0XaeF&#10;WnqxscqlETUqA4koYa8D8kXptuuUSO+6DlVipuXENJWVipC9ymu1mEOzjhB6LQ4twCktPOJkQTsq&#10;eoRaQgK2ifofKKtF9Oi7NBHeViORogixOKsfafO+h6AKF5Iaw1F0/H+w4u32JjItaRLq6TlnDizd&#10;+d3nH7efvv76+YXWu+/f2EXWaQjYUPiVu4mHHYabmEnvumjzn+iwXdF2f9RW7RIT5JzWs/PnNcku&#10;7s+qh8QQMb1W3rJstNxol2lDA9s3mKgYhd6HZLdxbGj5xWw6IzigGezo7sm0gXigW5dc9EbLa21M&#10;zsC4Xl2ZyLaQ56B8mRLh/hWWiywB+zGuHI0TEv3GSUqAplcgXznJ0j6QUI6eCM/NWCU5M4peVLZK&#10;ZAJtTomkJoyjXrK+o6LZWnm5L0IXP91+6fYwqXm8/tyX7IfXu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xmAC9YAAAAJAQAADwAAAAAAAAABACAAAAAiAAAAZHJzL2Rvd25yZXYueG1sUEsBAhQA&#10;FAAAAAgAh07iQEtMUrj0AQAA5QMAAA4AAAAAAAAAAQAgAAAAJQEAAGRycy9lMm9Eb2MueG1sUEsF&#10;BgAAAAAGAAYAWQEAAIsFA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 xml:space="preserve">送审单位    </w:t>
      </w: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center"/>
        <w:rPr>
          <w:rFonts w:ascii="Times New Roman" w:hAnsi="Times New Roman" w:eastAsia="仿宋_GB2312" w:cs="Times New Roman"/>
          <w:sz w:val="32"/>
          <w:szCs w:val="32"/>
        </w:rPr>
      </w:pPr>
    </w:p>
    <w:p>
      <w:pPr>
        <w:widowControl w:val="0"/>
        <w:spacing w:line="560" w:lineRule="exact"/>
        <w:jc w:val="center"/>
        <w:rPr>
          <w:rFonts w:ascii="Times New Roman" w:hAnsi="Times New Roman" w:eastAsia="仿宋_GB2312" w:cs="Times New Roman"/>
          <w:sz w:val="32"/>
          <w:szCs w:val="32"/>
        </w:rPr>
      </w:pPr>
      <w:bookmarkStart w:id="0" w:name="_GoBack"/>
      <w:bookmarkEnd w:id="0"/>
    </w:p>
    <w:p>
      <w:pPr>
        <w:widowControl w:val="0"/>
        <w:spacing w:line="560" w:lineRule="exact"/>
        <w:jc w:val="both"/>
        <w:rPr>
          <w:rFonts w:ascii="Times New Roman" w:hAnsi="Times New Roman" w:eastAsia="仿宋_GB2312" w:cs="Times New Roman"/>
          <w:sz w:val="32"/>
          <w:szCs w:val="32"/>
        </w:rPr>
      </w:pPr>
    </w:p>
    <w:p>
      <w:pPr>
        <w:widowControl w:val="0"/>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填表日期：  </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p>
    <w:p>
      <w:pPr>
        <w:widowControl w:val="0"/>
        <w:spacing w:line="560" w:lineRule="exact"/>
        <w:jc w:val="center"/>
        <w:rPr>
          <w:rFonts w:ascii="Times New Roman" w:hAnsi="Times New Roman" w:eastAsia="仿宋_GB2312" w:cs="Times New Roman"/>
          <w:sz w:val="32"/>
          <w:szCs w:val="32"/>
        </w:rPr>
      </w:pPr>
    </w:p>
    <w:tbl>
      <w:tblPr>
        <w:tblStyle w:val="2"/>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13"/>
        <w:gridCol w:w="930"/>
        <w:gridCol w:w="1341"/>
        <w:gridCol w:w="1359"/>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姓名</w:t>
            </w:r>
          </w:p>
        </w:tc>
        <w:tc>
          <w:tcPr>
            <w:tcW w:w="1613" w:type="dxa"/>
            <w:vAlign w:val="center"/>
          </w:tcPr>
          <w:p>
            <w:pPr>
              <w:widowControl w:val="0"/>
              <w:snapToGrid w:val="0"/>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郑牧民</w:t>
            </w:r>
          </w:p>
        </w:tc>
        <w:tc>
          <w:tcPr>
            <w:tcW w:w="930"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性别</w:t>
            </w:r>
          </w:p>
        </w:tc>
        <w:tc>
          <w:tcPr>
            <w:tcW w:w="1341" w:type="dxa"/>
            <w:vAlign w:val="center"/>
          </w:tcPr>
          <w:p>
            <w:pPr>
              <w:widowControl w:val="0"/>
              <w:snapToGrid w:val="0"/>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男</w:t>
            </w:r>
          </w:p>
        </w:tc>
        <w:tc>
          <w:tcPr>
            <w:tcW w:w="1359"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年龄</w:t>
            </w:r>
          </w:p>
        </w:tc>
        <w:tc>
          <w:tcPr>
            <w:tcW w:w="2278" w:type="dxa"/>
            <w:vAlign w:val="center"/>
          </w:tcPr>
          <w:p>
            <w:pPr>
              <w:widowControl w:val="0"/>
              <w:snapToGrid w:val="0"/>
              <w:spacing w:line="240" w:lineRule="auto"/>
              <w:jc w:val="center"/>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民族</w:t>
            </w:r>
          </w:p>
        </w:tc>
        <w:tc>
          <w:tcPr>
            <w:tcW w:w="3884" w:type="dxa"/>
            <w:gridSpan w:val="3"/>
            <w:vAlign w:val="center"/>
          </w:tcPr>
          <w:p>
            <w:pPr>
              <w:widowControl w:val="0"/>
              <w:snapToGrid w:val="0"/>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汉族</w:t>
            </w:r>
          </w:p>
        </w:tc>
        <w:tc>
          <w:tcPr>
            <w:tcW w:w="1359"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政治面貌</w:t>
            </w:r>
          </w:p>
        </w:tc>
        <w:tc>
          <w:tcPr>
            <w:tcW w:w="2278" w:type="dxa"/>
            <w:vAlign w:val="center"/>
          </w:tcPr>
          <w:p>
            <w:pPr>
              <w:widowControl w:val="0"/>
              <w:snapToGrid w:val="0"/>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致公党员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pPr>
              <w:widowControl w:val="0"/>
              <w:snapToGrid w:val="0"/>
              <w:spacing w:line="240" w:lineRule="auto"/>
              <w:jc w:val="center"/>
              <w:rPr>
                <w:rFonts w:ascii="宋体" w:hAnsi="宋体" w:cs="Times New Roman"/>
                <w:sz w:val="24"/>
                <w:szCs w:val="24"/>
              </w:rPr>
            </w:pPr>
            <w:r>
              <w:rPr>
                <w:rFonts w:ascii="宋体" w:hAnsi="宋体" w:cs="Times New Roman"/>
                <w:sz w:val="24"/>
                <w:szCs w:val="24"/>
              </w:rPr>
              <w:t>单位及职务</w:t>
            </w:r>
          </w:p>
        </w:tc>
        <w:tc>
          <w:tcPr>
            <w:tcW w:w="7521" w:type="dxa"/>
            <w:gridSpan w:val="5"/>
            <w:vAlign w:val="center"/>
          </w:tcPr>
          <w:p>
            <w:pPr>
              <w:widowControl w:val="0"/>
              <w:snapToGrid w:val="0"/>
              <w:spacing w:line="240" w:lineRule="auto"/>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吉首大学法学与公共管理学院副院长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9501" w:type="dxa"/>
            <w:gridSpan w:val="6"/>
          </w:tcPr>
          <w:p>
            <w:pPr>
              <w:widowControl w:val="0"/>
              <w:spacing w:line="560" w:lineRule="exact"/>
              <w:jc w:val="both"/>
              <w:rPr>
                <w:rFonts w:ascii="宋体" w:hAnsi="宋体" w:cs="Times New Roman"/>
                <w:sz w:val="24"/>
                <w:szCs w:val="24"/>
              </w:rPr>
            </w:pPr>
            <w:r>
              <w:rPr>
                <w:rFonts w:ascii="宋体" w:hAnsi="宋体" w:cs="Times New Roman"/>
                <w:sz w:val="24"/>
                <w:szCs w:val="24"/>
              </w:rPr>
              <w:t>主要事迹：</w:t>
            </w:r>
          </w:p>
          <w:p>
            <w:pPr>
              <w:widowControl w:val="0"/>
              <w:spacing w:line="560" w:lineRule="exact"/>
              <w:ind w:firstLine="480" w:firstLineChars="200"/>
              <w:jc w:val="both"/>
              <w:rPr>
                <w:rFonts w:hint="default" w:ascii="宋体" w:hAnsi="宋体" w:cs="Times New Roman"/>
                <w:sz w:val="24"/>
                <w:szCs w:val="24"/>
                <w:lang w:val="en-US" w:eastAsia="zh-CN"/>
              </w:rPr>
            </w:pPr>
            <w:r>
              <w:rPr>
                <w:rFonts w:hint="eastAsia" w:ascii="宋体" w:hAnsi="宋体" w:cs="Times New Roman"/>
                <w:sz w:val="24"/>
                <w:szCs w:val="24"/>
                <w:lang w:val="en-US" w:eastAsia="zh-CN"/>
              </w:rPr>
              <w:t>“七五”普法工作启动以来，全国范围内的法治普及水平取得了质的飞跃。但各地区的普法工作不能一概而论，身为一名在偏远落后的少数民族地区——湘西工作近20年的法律工作者，我通过长期的调研与考察发现，当前湘西地区尤其是湘西农村地区的法治普及水平是远远落后于全国平均水平的。这与湘西地区的人口民族构成、风俗习惯以及偏远的山区地域特色有着莫大的关系。想要形成湘西地区“知法、懂法、用法、守法”的良好法治生态，必须结合湘西地区的民族特色、湘西农村地区的地域特色来开展普法工作。多年来，本人在坚持做好法学教学工作的同时，致力于研究适合湘西民族地区的、具有可推广性的系统化特色普法模式，争取从点到面的突破，最大程度上提高全湘西普法工作的质效程度。现将本人在湘西地区的普法工作简述如下：</w:t>
            </w:r>
          </w:p>
          <w:p>
            <w:pPr>
              <w:widowControl w:val="0"/>
              <w:numPr>
                <w:ilvl w:val="0"/>
                <w:numId w:val="0"/>
              </w:numPr>
              <w:spacing w:line="560" w:lineRule="exact"/>
              <w:ind w:firstLine="480" w:firstLineChars="200"/>
              <w:jc w:val="both"/>
              <w:rPr>
                <w:rFonts w:hint="default" w:ascii="宋体" w:hAnsi="宋体" w:cs="Times New Roman"/>
                <w:sz w:val="24"/>
                <w:szCs w:val="24"/>
                <w:lang w:val="en-US" w:eastAsia="zh-CN"/>
              </w:rPr>
            </w:pPr>
            <w:r>
              <w:rPr>
                <w:rFonts w:hint="eastAsia" w:ascii="宋体" w:hAnsi="宋体" w:cs="Times New Roman"/>
                <w:sz w:val="24"/>
                <w:szCs w:val="24"/>
                <w:lang w:val="en-US" w:eastAsia="zh-CN"/>
              </w:rPr>
              <w:t>一是动员多方力量共同参与普法工作。湘西地区具有两大特点：一是地域面积辽阔且多是山区，交通、信息等极其不发达；二是人口民族构成复杂，多民族特色明显，具有独特的民族文化和风俗习惯。这使得传统的普法模式在湘西地区难以取得较好效果。面临这样的难题，我意识到：要想做好普法，单凭我个人的力量是远远不够的，必须联合多方力量。首先，吉首大学是一所综合性大学，少数民族同学约占学生总量的20%以上，作为吉首大学法学与公共管理学院的副院长，注重加强与吉首大学雪莲精神工作室的交流，深入了解少数民族同学的法治素养情况及民族法治特色，通过理论教学、实践教学等方式加强各民族同学之间的法治知识交流，培养少数民族同学的法治意识和法律思维，并在少数民族同学的帮助不定期向校外民族地区开展线下、线上法治宣讲，进一步拓深普法范围。其次，在职期间通过联系湘西州人民检察院等机关单位、在校内开展学生及讲师志愿动员大会等方式联动政府、学校、社会等多方力量，以宣讲、调研解答、发放普法资料等多种形式尽可能拓宽普法范围、加大普法力度，不仅为湘西地区的普法工作注入了强力支撑，更在整个湘西地区形成了良好的全民普法氛围。我在湘西地区的普法工作取得了巨大成效，这证明了：联动政府、学校、社会等多方力量是激发普法工作新动能的重要途径，同时必须具体问题具体分析，根据不同地区的地域特色、民族特色开展具有高度适用性的普法工作。</w:t>
            </w:r>
          </w:p>
          <w:p>
            <w:pPr>
              <w:widowControl w:val="0"/>
              <w:numPr>
                <w:ilvl w:val="0"/>
                <w:numId w:val="0"/>
              </w:numPr>
              <w:spacing w:line="560" w:lineRule="exact"/>
              <w:ind w:firstLine="480" w:firstLine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二是深入湘西农村地区开展“未你而来”公益行动。2019年10月，我关注到湘西地区未成年人受性侵事件多发高发，农村地区的未成年人普法工作不到位是首要原因，而造成湘西农村地区普法工作难的关键又主要在于民族文化、风俗习惯的差异。当我带队前往部分农村地区学校宣教时发现，很多的农村地区孩子不会说普通话、甚至是听不懂普通话。当我们向家长介绍我们将向孩子们宣传“防性侵法治知识”时，部分家长十分抵触，认为这是有辱风化的。面对这样的情况，我设置了两条针对性的应对方案。一是带队前往每一所学校宣教时，邀请能够与当地人无碍沟通的学生、同事共同前往，避免因为语言不通而造成普法工作难以开展。二是注重家庭这一环节在未成年人普法方面的重要作用。在湘西州人民检察院工作人员的带领下，前往各个乡镇、村庄找到村支书陪同进村入户，开导家长，攻破普法工作开展受阻的第二因素。长期以来，我带领志愿者学生坚持开展“未你而来”湘西农村地区未成年人防性侵公益行动。“未你而来”项目以高校为主导，以检察院为依托，以宣讲教育、网络服务、心理干预为主要服务方式，构建出了“1+1+3”的普法公益服务模式。在不到两年时间里，前往了湘西州地区的80所农村地区学校进行线下宣教，并在宣教结束后定期对该学校进行回访。同时，团队成员制作的《防性侵法治教育宣传手册》被湘西州教体局采用，普及到了3万余名学生。在注重未成年人本身对防性侵法治知识普及工作的同时，将未成年人家庭成员的普法工作纳入工作重点。“未你而来”公益行动“走近”湘西各个村庄、各个学校、各个家庭、各个未成年人身边，全方位、多层次地为湘西地区的普法工作注入有效动能。</w:t>
            </w:r>
          </w:p>
          <w:p>
            <w:pPr>
              <w:widowControl w:val="0"/>
              <w:numPr>
                <w:ilvl w:val="0"/>
                <w:numId w:val="0"/>
              </w:numPr>
              <w:spacing w:line="560" w:lineRule="exact"/>
              <w:ind w:firstLine="480" w:firstLine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三是组织创立“法管先声”志愿服务团。2011年，以深入开展普法工作为目标导向，联合学院力量共同建立“法管先声”志愿服务团队。在往后的十年时间里，“法管先声”志愿服务团团队成员普法总时长达7800小时、受众超35000名、发放普法书籍及资料10000余份，并多次获得了禁毒防艾宣传教育活动国家级重点、湖南省志愿服务项目金奖等荣誉。“法管先声”志愿服务团的成员多为吉首大学的学生，学生群体具备一定的专业水平同时拥有充足的热情，在推动开展普法志愿工作的同时还能发挥育人作用，丰富学生的实践经验，发挥普法志愿工作在引领学生学科建设方面的作用，可谓一举多得。</w:t>
            </w:r>
          </w:p>
          <w:p>
            <w:pPr>
              <w:widowControl w:val="0"/>
              <w:numPr>
                <w:ilvl w:val="0"/>
                <w:numId w:val="0"/>
              </w:numPr>
              <w:spacing w:line="560" w:lineRule="exact"/>
              <w:ind w:firstLine="480" w:firstLineChars="200"/>
              <w:jc w:val="both"/>
              <w:rPr>
                <w:rFonts w:hint="default" w:ascii="宋体" w:hAnsi="宋体" w:cs="Times New Roman"/>
                <w:sz w:val="24"/>
                <w:szCs w:val="24"/>
                <w:lang w:val="en-US" w:eastAsia="zh-CN"/>
              </w:rPr>
            </w:pPr>
            <w:r>
              <w:rPr>
                <w:rFonts w:hint="eastAsia" w:ascii="宋体" w:hAnsi="宋体" w:cs="Times New Roman"/>
                <w:sz w:val="24"/>
                <w:szCs w:val="24"/>
                <w:lang w:val="en-US" w:eastAsia="zh-CN"/>
              </w:rPr>
              <w:t>普法“攻坚战”是一场全民“战争”，在开展普法工作的过程中我意识到”具体问题具体分析”的重要性，当前湘西地区的普法工作仍然存在辐射范围不够广泛、普及人群不够全面、普及力度不够强烈等不足之处。如果能进一步结合少数民族特色进行深入普法，必能取得普法“攻坚战”的最终胜利。身为一名战斗在一线多年的普法工作者，我有义务、有责任更有信心在湘西法治普及领域上继续研究、完善新型普法模式，为湘西普法工作做出更大贡献。长路漫漫，我将高举普法的火炬，在法治的道路上继续前行！</w:t>
            </w:r>
          </w:p>
          <w:p>
            <w:pPr>
              <w:widowControl w:val="0"/>
              <w:numPr>
                <w:ilvl w:val="0"/>
                <w:numId w:val="0"/>
              </w:numPr>
              <w:spacing w:line="560" w:lineRule="exact"/>
              <w:jc w:val="both"/>
              <w:rPr>
                <w:rFonts w:hint="default" w:ascii="宋体" w:hAnsi="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9501" w:type="dxa"/>
            <w:gridSpan w:val="6"/>
          </w:tcPr>
          <w:p>
            <w:pPr>
              <w:widowControl w:val="0"/>
              <w:spacing w:line="560" w:lineRule="exact"/>
              <w:jc w:val="both"/>
              <w:rPr>
                <w:rFonts w:ascii="宋体" w:hAnsi="宋体" w:cs="Times New Roman"/>
                <w:sz w:val="24"/>
                <w:szCs w:val="24"/>
              </w:rPr>
            </w:pPr>
            <w:r>
              <w:rPr>
                <w:rFonts w:ascii="宋体" w:hAnsi="宋体" w:cs="Times New Roman"/>
                <w:sz w:val="24"/>
                <w:szCs w:val="24"/>
              </w:rPr>
              <w:t>市州守法普法工作办公室或省直三系统普法办审批意见：</w:t>
            </w:r>
          </w:p>
          <w:p>
            <w:pPr>
              <w:widowControl w:val="0"/>
              <w:spacing w:line="560" w:lineRule="exact"/>
              <w:jc w:val="both"/>
              <w:rPr>
                <w:rFonts w:ascii="宋体" w:hAnsi="宋体" w:cs="Times New Roman"/>
                <w:sz w:val="24"/>
                <w:szCs w:val="24"/>
              </w:rPr>
            </w:pPr>
          </w:p>
          <w:p>
            <w:pPr>
              <w:widowControl w:val="0"/>
              <w:spacing w:line="560" w:lineRule="exact"/>
              <w:jc w:val="both"/>
              <w:rPr>
                <w:rFonts w:ascii="宋体" w:hAnsi="宋体" w:cs="Times New Roman"/>
                <w:sz w:val="24"/>
                <w:szCs w:val="24"/>
              </w:rPr>
            </w:pPr>
          </w:p>
          <w:p>
            <w:pPr>
              <w:widowControl w:val="0"/>
              <w:spacing w:line="560" w:lineRule="exact"/>
              <w:jc w:val="both"/>
              <w:rPr>
                <w:rFonts w:ascii="宋体" w:hAnsi="宋体" w:cs="Times New Roman"/>
                <w:sz w:val="24"/>
                <w:szCs w:val="24"/>
              </w:rPr>
            </w:pPr>
            <w:r>
              <w:rPr>
                <w:rFonts w:ascii="宋体" w:hAnsi="宋体" w:cs="Times New Roman"/>
                <w:sz w:val="24"/>
                <w:szCs w:val="24"/>
              </w:rPr>
              <w:t xml:space="preserve">                                            （盖 章）</w:t>
            </w:r>
          </w:p>
          <w:p>
            <w:pPr>
              <w:widowControl w:val="0"/>
              <w:spacing w:line="560" w:lineRule="exact"/>
              <w:jc w:val="both"/>
              <w:rPr>
                <w:rFonts w:ascii="宋体" w:hAnsi="宋体" w:cs="Times New Roman"/>
                <w:sz w:val="24"/>
                <w:szCs w:val="24"/>
              </w:rPr>
            </w:pPr>
            <w:r>
              <w:rPr>
                <w:rFonts w:ascii="宋体" w:hAnsi="宋体"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9501" w:type="dxa"/>
            <w:gridSpan w:val="6"/>
            <w:tcBorders>
              <w:bottom w:val="single" w:color="auto" w:sz="4" w:space="0"/>
            </w:tcBorders>
          </w:tcPr>
          <w:p>
            <w:pPr>
              <w:widowControl w:val="0"/>
              <w:spacing w:line="560" w:lineRule="exact"/>
              <w:jc w:val="both"/>
              <w:rPr>
                <w:rFonts w:ascii="宋体" w:hAnsi="宋体" w:cs="Times New Roman"/>
                <w:sz w:val="24"/>
                <w:szCs w:val="24"/>
              </w:rPr>
            </w:pPr>
            <w:r>
              <w:rPr>
                <w:rFonts w:ascii="宋体" w:hAnsi="宋体" w:cs="Times New Roman"/>
                <w:sz w:val="24"/>
                <w:szCs w:val="24"/>
              </w:rPr>
              <w:t>省守法普法工作办公室审定意见：</w:t>
            </w:r>
          </w:p>
          <w:p>
            <w:pPr>
              <w:widowControl w:val="0"/>
              <w:spacing w:line="560" w:lineRule="exact"/>
              <w:jc w:val="both"/>
              <w:rPr>
                <w:rFonts w:ascii="宋体" w:hAnsi="宋体" w:cs="Times New Roman"/>
                <w:sz w:val="24"/>
                <w:szCs w:val="24"/>
              </w:rPr>
            </w:pPr>
          </w:p>
          <w:p>
            <w:pPr>
              <w:widowControl w:val="0"/>
              <w:spacing w:line="560" w:lineRule="exact"/>
              <w:ind w:firstLine="4920" w:firstLineChars="2050"/>
              <w:jc w:val="both"/>
              <w:rPr>
                <w:rFonts w:ascii="宋体" w:hAnsi="宋体" w:cs="Times New Roman"/>
                <w:sz w:val="24"/>
                <w:szCs w:val="24"/>
              </w:rPr>
            </w:pPr>
          </w:p>
          <w:p>
            <w:pPr>
              <w:widowControl w:val="0"/>
              <w:spacing w:line="560" w:lineRule="exact"/>
              <w:ind w:firstLine="5280" w:firstLineChars="2200"/>
              <w:jc w:val="both"/>
              <w:rPr>
                <w:rFonts w:ascii="宋体" w:hAnsi="宋体" w:cs="Times New Roman"/>
                <w:sz w:val="24"/>
                <w:szCs w:val="24"/>
              </w:rPr>
            </w:pPr>
            <w:r>
              <w:rPr>
                <w:rFonts w:ascii="宋体" w:hAnsi="宋体" w:cs="Times New Roman"/>
                <w:sz w:val="24"/>
                <w:szCs w:val="24"/>
              </w:rPr>
              <w:t>（盖 章）</w:t>
            </w:r>
          </w:p>
          <w:p>
            <w:pPr>
              <w:widowControl w:val="0"/>
              <w:spacing w:line="560" w:lineRule="exact"/>
              <w:ind w:firstLine="7560" w:firstLineChars="3150"/>
              <w:jc w:val="both"/>
              <w:rPr>
                <w:rFonts w:ascii="宋体" w:hAnsi="宋体" w:cs="Times New Roman"/>
                <w:sz w:val="24"/>
                <w:szCs w:val="24"/>
              </w:rPr>
            </w:pPr>
            <w:r>
              <w:rPr>
                <w:rFonts w:ascii="宋体" w:hAnsi="宋体" w:cs="Times New Roman"/>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F69E5"/>
    <w:rsid w:val="12A700CD"/>
    <w:rsid w:val="16766E16"/>
    <w:rsid w:val="31711ECF"/>
    <w:rsid w:val="4B4257E9"/>
    <w:rsid w:val="5A3F2C28"/>
    <w:rsid w:val="5D1F57C4"/>
    <w:rsid w:val="65D248AC"/>
    <w:rsid w:val="6701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2" w:lineRule="exact"/>
    </w:pPr>
    <w:rPr>
      <w:rFonts w:ascii="Calibri" w:hAnsi="Calibri" w:eastAsia="宋体" w:cs="宋体"/>
      <w:kern w:val="2"/>
      <w:sz w:val="21"/>
      <w:szCs w:val="22"/>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1713</Words>
  <Characters>1756</Characters>
  <Paragraphs>60</Paragraphs>
  <TotalTime>1</TotalTime>
  <ScaleCrop>false</ScaleCrop>
  <LinksUpToDate>false</LinksUpToDate>
  <CharactersWithSpaces>1903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2021-09-13T07:06:00Z</dcterms:created>
  <dc:creator>86176</dc:creator>
  <cp:lastModifiedBy>jsutv彭</cp:lastModifiedBy>
  <dcterms:modified xsi:type="dcterms:W3CDTF">2021-09-14T14:13:57Z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b3587e0144674401b6f0fff668950bf6</vt:lpwstr>
  </property>
</Properties>
</file>