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6"/>
          <w:szCs w:val="36"/>
          <w:lang w:val="en-US" w:eastAsia="zh-CN"/>
        </w:rPr>
      </w:pPr>
      <w:r>
        <w:rPr>
          <w:rFonts w:hint="eastAsia" w:ascii="黑体" w:hAnsi="黑体" w:eastAsia="黑体" w:cs="黑体"/>
          <w:sz w:val="28"/>
          <w:szCs w:val="28"/>
          <w:lang w:val="en-US" w:eastAsia="zh-CN"/>
        </w:rPr>
        <w:t>附件1：</w:t>
      </w:r>
      <w:r>
        <w:rPr>
          <w:rFonts w:hint="eastAsia" w:ascii="黑体" w:hAnsi="黑体" w:eastAsia="黑体" w:cs="黑体"/>
          <w:sz w:val="36"/>
          <w:szCs w:val="36"/>
          <w:lang w:val="en-US" w:eastAsia="zh-CN"/>
        </w:rPr>
        <w:t xml:space="preserve">     </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吉首大学2024年思想政治工作精品项目、思想政治工作研究项目立项汇总表</w:t>
      </w:r>
    </w:p>
    <w:p>
      <w:pPr>
        <w:jc w:val="center"/>
        <w:rPr>
          <w:rFonts w:hint="eastAsia" w:ascii="黑体" w:hAnsi="黑体" w:eastAsia="黑体" w:cs="黑体"/>
          <w:b/>
          <w:bCs/>
          <w:sz w:val="36"/>
          <w:szCs w:val="36"/>
          <w:lang w:val="en-US" w:eastAsia="zh-CN"/>
        </w:rPr>
      </w:pPr>
    </w:p>
    <w:tbl>
      <w:tblPr>
        <w:tblStyle w:val="3"/>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732"/>
        <w:gridCol w:w="5152"/>
        <w:gridCol w:w="1919"/>
        <w:gridCol w:w="1206"/>
        <w:gridCol w:w="11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31" w:type="dxa"/>
            <w:noWrap w:val="0"/>
            <w:vAlign w:val="center"/>
          </w:tcPr>
          <w:p>
            <w:pPr>
              <w:widowControl/>
              <w:jc w:val="center"/>
              <w:rPr>
                <w:rFonts w:ascii="宋体" w:hAnsi="宋体" w:cs="Times New Roman"/>
                <w:b/>
                <w:bCs/>
                <w:kern w:val="0"/>
                <w:sz w:val="24"/>
                <w:szCs w:val="24"/>
              </w:rPr>
            </w:pPr>
            <w:r>
              <w:rPr>
                <w:rFonts w:hint="eastAsia" w:ascii="宋体" w:hAnsi="宋体" w:cs="Times New Roman"/>
                <w:b/>
                <w:bCs/>
                <w:kern w:val="0"/>
                <w:sz w:val="24"/>
                <w:szCs w:val="24"/>
              </w:rPr>
              <w:t>序号</w:t>
            </w:r>
          </w:p>
        </w:tc>
        <w:tc>
          <w:tcPr>
            <w:tcW w:w="2732" w:type="dxa"/>
            <w:noWrap w:val="0"/>
            <w:vAlign w:val="center"/>
          </w:tcPr>
          <w:p>
            <w:pPr>
              <w:widowControl/>
              <w:jc w:val="center"/>
              <w:rPr>
                <w:rFonts w:ascii="宋体" w:hAnsi="宋体" w:cs="Times New Roman"/>
                <w:b/>
                <w:bCs/>
                <w:kern w:val="0"/>
                <w:sz w:val="24"/>
                <w:szCs w:val="24"/>
              </w:rPr>
            </w:pPr>
            <w:r>
              <w:rPr>
                <w:rFonts w:hint="eastAsia" w:ascii="宋体" w:hAnsi="宋体" w:cs="Times New Roman"/>
                <w:b/>
                <w:bCs/>
                <w:kern w:val="0"/>
                <w:sz w:val="24"/>
                <w:szCs w:val="24"/>
                <w:lang w:val="en-US" w:eastAsia="zh-CN"/>
              </w:rPr>
              <w:t>项目</w:t>
            </w:r>
            <w:r>
              <w:rPr>
                <w:rFonts w:hint="eastAsia" w:ascii="宋体" w:hAnsi="宋体" w:cs="Times New Roman"/>
                <w:b/>
                <w:bCs/>
                <w:kern w:val="0"/>
                <w:sz w:val="24"/>
                <w:szCs w:val="24"/>
              </w:rPr>
              <w:t>类型</w:t>
            </w:r>
          </w:p>
        </w:tc>
        <w:tc>
          <w:tcPr>
            <w:tcW w:w="5152" w:type="dxa"/>
            <w:noWrap w:val="0"/>
            <w:vAlign w:val="center"/>
          </w:tcPr>
          <w:p>
            <w:pPr>
              <w:widowControl/>
              <w:jc w:val="center"/>
              <w:rPr>
                <w:rFonts w:ascii="宋体" w:hAnsi="宋体" w:cs="Times New Roman"/>
                <w:b/>
                <w:bCs/>
                <w:kern w:val="0"/>
                <w:sz w:val="24"/>
                <w:szCs w:val="24"/>
              </w:rPr>
            </w:pPr>
            <w:r>
              <w:rPr>
                <w:rFonts w:hint="eastAsia" w:ascii="宋体" w:hAnsi="宋体" w:cs="Times New Roman"/>
                <w:b/>
                <w:bCs/>
                <w:kern w:val="0"/>
                <w:sz w:val="24"/>
                <w:szCs w:val="24"/>
              </w:rPr>
              <w:t>项目名称</w:t>
            </w:r>
          </w:p>
        </w:tc>
        <w:tc>
          <w:tcPr>
            <w:tcW w:w="1919" w:type="dxa"/>
            <w:noWrap w:val="0"/>
            <w:vAlign w:val="center"/>
          </w:tcPr>
          <w:p>
            <w:pPr>
              <w:widowControl/>
              <w:jc w:val="center"/>
              <w:rPr>
                <w:rFonts w:hint="default" w:ascii="宋体" w:hAnsi="宋体" w:cs="Times New Roman" w:eastAsiaTheme="minorEastAsia"/>
                <w:b/>
                <w:bCs/>
                <w:kern w:val="0"/>
                <w:sz w:val="24"/>
                <w:szCs w:val="24"/>
                <w:lang w:val="en-US" w:eastAsia="zh-CN"/>
              </w:rPr>
            </w:pPr>
            <w:r>
              <w:rPr>
                <w:rFonts w:hint="eastAsia" w:ascii="宋体" w:hAnsi="宋体" w:cs="Times New Roman"/>
                <w:b/>
                <w:bCs/>
                <w:kern w:val="0"/>
                <w:sz w:val="24"/>
                <w:szCs w:val="24"/>
                <w:lang w:val="en-US" w:eastAsia="zh-CN"/>
              </w:rPr>
              <w:t>项目编号</w:t>
            </w:r>
          </w:p>
        </w:tc>
        <w:tc>
          <w:tcPr>
            <w:tcW w:w="1206" w:type="dxa"/>
            <w:noWrap w:val="0"/>
            <w:vAlign w:val="center"/>
          </w:tcPr>
          <w:p>
            <w:pPr>
              <w:widowControl/>
              <w:jc w:val="center"/>
              <w:rPr>
                <w:rFonts w:ascii="宋体" w:hAnsi="宋体" w:cs="Times New Roman"/>
                <w:b/>
                <w:bCs/>
                <w:kern w:val="0"/>
                <w:sz w:val="24"/>
                <w:szCs w:val="24"/>
              </w:rPr>
            </w:pPr>
            <w:r>
              <w:rPr>
                <w:rFonts w:hint="eastAsia" w:ascii="宋体" w:hAnsi="宋体" w:cs="Times New Roman"/>
                <w:b/>
                <w:bCs/>
                <w:kern w:val="0"/>
                <w:sz w:val="24"/>
                <w:szCs w:val="24"/>
              </w:rPr>
              <w:t>负责人</w:t>
            </w:r>
          </w:p>
        </w:tc>
        <w:tc>
          <w:tcPr>
            <w:tcW w:w="1117" w:type="dxa"/>
            <w:noWrap w:val="0"/>
            <w:vAlign w:val="center"/>
          </w:tcPr>
          <w:p>
            <w:pPr>
              <w:widowControl/>
              <w:jc w:val="center"/>
              <w:rPr>
                <w:rFonts w:hint="eastAsia" w:ascii="宋体" w:hAnsi="宋体" w:cs="Times New Roman" w:eastAsiaTheme="minorEastAsia"/>
                <w:b/>
                <w:bCs/>
                <w:kern w:val="0"/>
                <w:sz w:val="24"/>
                <w:szCs w:val="24"/>
                <w:lang w:eastAsia="zh-CN"/>
              </w:rPr>
            </w:pPr>
            <w:r>
              <w:rPr>
                <w:rFonts w:hint="eastAsia" w:ascii="宋体" w:hAnsi="宋体" w:cs="Times New Roman"/>
                <w:b/>
                <w:bCs/>
                <w:kern w:val="0"/>
                <w:sz w:val="24"/>
                <w:szCs w:val="24"/>
                <w:lang w:val="en-US" w:eastAsia="zh-CN"/>
              </w:rPr>
              <w:t>身份</w:t>
            </w:r>
          </w:p>
        </w:tc>
        <w:tc>
          <w:tcPr>
            <w:tcW w:w="1313" w:type="dxa"/>
            <w:noWrap w:val="0"/>
            <w:vAlign w:val="center"/>
          </w:tcPr>
          <w:p>
            <w:pPr>
              <w:widowControl/>
              <w:jc w:val="center"/>
              <w:rPr>
                <w:rFonts w:hint="default" w:ascii="宋体" w:hAnsi="宋体" w:cs="Times New Roman" w:eastAsiaTheme="minorEastAsia"/>
                <w:b/>
                <w:bCs/>
                <w:kern w:val="0"/>
                <w:sz w:val="24"/>
                <w:szCs w:val="24"/>
                <w:lang w:val="en-US" w:eastAsia="zh-CN"/>
              </w:rPr>
            </w:pPr>
            <w:r>
              <w:rPr>
                <w:rFonts w:hint="eastAsia" w:ascii="宋体" w:hAnsi="宋体" w:cs="Times New Roman"/>
                <w:b/>
                <w:bCs/>
                <w:kern w:val="0"/>
                <w:sz w:val="24"/>
                <w:szCs w:val="24"/>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1</w:t>
            </w:r>
          </w:p>
        </w:tc>
        <w:tc>
          <w:tcPr>
            <w:tcW w:w="2732"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文化育人精品项目</w:t>
            </w:r>
          </w:p>
        </w:tc>
        <w:tc>
          <w:tcPr>
            <w:tcW w:w="51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“读+讲（演）+行”三位一体文化育人模式构建研究与实践</w:t>
            </w:r>
          </w:p>
        </w:tc>
        <w:tc>
          <w:tcPr>
            <w:tcW w:w="1919"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JSUSZJP202401</w:t>
            </w:r>
          </w:p>
        </w:tc>
        <w:tc>
          <w:tcPr>
            <w:tcW w:w="1206"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丁玉兰</w:t>
            </w:r>
          </w:p>
        </w:tc>
        <w:tc>
          <w:tcPr>
            <w:tcW w:w="1117"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教师</w:t>
            </w:r>
          </w:p>
        </w:tc>
        <w:tc>
          <w:tcPr>
            <w:tcW w:w="1313" w:type="dxa"/>
            <w:noWrap w:val="0"/>
            <w:vAlign w:val="center"/>
          </w:tcPr>
          <w:p>
            <w:pPr>
              <w:widowControl/>
              <w:jc w:val="center"/>
              <w:rPr>
                <w:rFonts w:hint="default" w:ascii="宋体" w:hAnsi="宋体" w:cs="Times New Roman"/>
                <w:kern w:val="0"/>
                <w:szCs w:val="21"/>
                <w:lang w:val="en-US" w:eastAsia="zh-CN"/>
              </w:rPr>
            </w:pPr>
            <w:r>
              <w:rPr>
                <w:rFonts w:hint="eastAsia" w:ascii="宋体" w:hAnsi="宋体" w:cs="Times New Roman"/>
                <w:kern w:val="0"/>
                <w:szCs w:val="21"/>
                <w:lang w:val="en-US" w:eastAsia="zh-CN"/>
              </w:rPr>
              <w:t>校级重点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2</w:t>
            </w:r>
          </w:p>
        </w:tc>
        <w:tc>
          <w:tcPr>
            <w:tcW w:w="2732"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eastAsia="仿宋_GB2312"/>
                <w:sz w:val="24"/>
                <w:szCs w:val="24"/>
                <w:lang w:val="en-US" w:eastAsia="zh-CN"/>
              </w:rPr>
            </w:pPr>
            <w:r>
              <w:rPr>
                <w:rFonts w:hint="eastAsia" w:ascii="Times New Roman" w:hAnsi="Times New Roman" w:eastAsia="仿宋_GB2312" w:cs="Times New Roman"/>
                <w:sz w:val="24"/>
                <w:szCs w:val="24"/>
                <w:lang w:val="en-US" w:eastAsia="zh-CN"/>
              </w:rPr>
              <w:t>“鲜红·鲜活”：湘西红色文化融入高校思政教育的价值意蕴与实践路径</w:t>
            </w:r>
          </w:p>
        </w:tc>
        <w:tc>
          <w:tcPr>
            <w:tcW w:w="1919"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JSUSZYJ202401</w:t>
            </w:r>
          </w:p>
        </w:tc>
        <w:tc>
          <w:tcPr>
            <w:tcW w:w="1206"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张  旺</w:t>
            </w:r>
          </w:p>
        </w:tc>
        <w:tc>
          <w:tcPr>
            <w:tcW w:w="1117"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教师</w:t>
            </w:r>
          </w:p>
        </w:tc>
        <w:tc>
          <w:tcPr>
            <w:tcW w:w="1313" w:type="dxa"/>
            <w:noWrap w:val="0"/>
            <w:vAlign w:val="center"/>
          </w:tcPr>
          <w:p>
            <w:pPr>
              <w:snapToGrid w:val="0"/>
              <w:jc w:val="center"/>
              <w:rPr>
                <w:rFonts w:hint="eastAsia" w:eastAsia="方正小标宋简体" w:asciiTheme="minorHAnsi" w:hAnsiTheme="minorHAnsi" w:cstheme="minorBidi"/>
                <w:kern w:val="0"/>
                <w:sz w:val="28"/>
                <w:szCs w:val="28"/>
                <w:lang w:val="en-US" w:eastAsia="zh-CN" w:bidi="ar-SA"/>
              </w:rPr>
            </w:pPr>
            <w:r>
              <w:rPr>
                <w:rFonts w:hint="eastAsia" w:eastAsia="仿宋_GB2312"/>
                <w:sz w:val="24"/>
                <w:szCs w:val="24"/>
                <w:lang w:val="en-US" w:eastAsia="zh-CN"/>
              </w:rPr>
              <w:t>校级重点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3</w:t>
            </w:r>
          </w:p>
        </w:tc>
        <w:tc>
          <w:tcPr>
            <w:tcW w:w="2732"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eastAsia="仿宋_GB2312"/>
                <w:sz w:val="24"/>
                <w:szCs w:val="24"/>
                <w:lang w:val="en-US" w:eastAsia="zh-CN"/>
              </w:rPr>
            </w:pPr>
            <w:r>
              <w:rPr>
                <w:rFonts w:hint="eastAsia" w:ascii="Times New Roman" w:hAnsi="Times New Roman" w:eastAsia="仿宋_GB2312" w:cs="Times New Roman"/>
                <w:sz w:val="24"/>
                <w:szCs w:val="24"/>
                <w:lang w:val="en-US" w:eastAsia="zh-CN"/>
              </w:rPr>
              <w:t>铸牢中华民族共同体意识融入湖南民族地区高校思想政治教育路径研究</w:t>
            </w:r>
          </w:p>
        </w:tc>
        <w:tc>
          <w:tcPr>
            <w:tcW w:w="1919"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JSUSZYJ202402</w:t>
            </w:r>
          </w:p>
        </w:tc>
        <w:tc>
          <w:tcPr>
            <w:tcW w:w="1206"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苏卫平</w:t>
            </w:r>
          </w:p>
        </w:tc>
        <w:tc>
          <w:tcPr>
            <w:tcW w:w="1117"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教师</w:t>
            </w:r>
          </w:p>
        </w:tc>
        <w:tc>
          <w:tcPr>
            <w:tcW w:w="1313"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4</w:t>
            </w:r>
          </w:p>
        </w:tc>
        <w:tc>
          <w:tcPr>
            <w:tcW w:w="2732"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大思政课视域下青少年科学家精神培育的路径创新研究</w:t>
            </w:r>
            <w:r>
              <w:rPr>
                <w:rFonts w:hint="default" w:ascii="Times New Roman" w:hAnsi="Times New Roman" w:eastAsia="仿宋_GB2312" w:cs="Times New Roman"/>
                <w:sz w:val="24"/>
                <w:szCs w:val="24"/>
                <w:lang w:val="en-US" w:eastAsia="zh-CN"/>
              </w:rPr>
              <w:t xml:space="preserve"> </w:t>
            </w:r>
          </w:p>
        </w:tc>
        <w:tc>
          <w:tcPr>
            <w:tcW w:w="1919"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JSUSZYJ202403</w:t>
            </w:r>
          </w:p>
        </w:tc>
        <w:tc>
          <w:tcPr>
            <w:tcW w:w="1206"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杨  婵</w:t>
            </w:r>
          </w:p>
        </w:tc>
        <w:tc>
          <w:tcPr>
            <w:tcW w:w="1117"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教师</w:t>
            </w:r>
          </w:p>
        </w:tc>
        <w:tc>
          <w:tcPr>
            <w:tcW w:w="1313"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5</w:t>
            </w:r>
          </w:p>
        </w:tc>
        <w:tc>
          <w:tcPr>
            <w:tcW w:w="2732"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辅导员骨干研究项目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湖湘红色文化融入高校思想政治教育实践路径研究</w:t>
            </w:r>
          </w:p>
        </w:tc>
        <w:tc>
          <w:tcPr>
            <w:tcW w:w="1919"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JSUSZGG202401</w:t>
            </w:r>
          </w:p>
        </w:tc>
        <w:tc>
          <w:tcPr>
            <w:tcW w:w="1206"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丁玉兰</w:t>
            </w:r>
          </w:p>
        </w:tc>
        <w:tc>
          <w:tcPr>
            <w:tcW w:w="1117"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教师</w:t>
            </w:r>
          </w:p>
        </w:tc>
        <w:tc>
          <w:tcPr>
            <w:tcW w:w="1313"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731"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6</w:t>
            </w:r>
          </w:p>
        </w:tc>
        <w:tc>
          <w:tcPr>
            <w:tcW w:w="2732"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辅导员骨干研究项目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高校“红色音乐+思政”育人模式构建与实践</w:t>
            </w:r>
          </w:p>
        </w:tc>
        <w:tc>
          <w:tcPr>
            <w:tcW w:w="1919"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JSUSZGG202402</w:t>
            </w:r>
          </w:p>
        </w:tc>
        <w:tc>
          <w:tcPr>
            <w:tcW w:w="1206" w:type="dxa"/>
            <w:noWrap w:val="0"/>
            <w:vAlign w:val="center"/>
          </w:tcPr>
          <w:p>
            <w:pPr>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田 惠</w:t>
            </w:r>
          </w:p>
        </w:tc>
        <w:tc>
          <w:tcPr>
            <w:tcW w:w="1117"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教师</w:t>
            </w:r>
          </w:p>
        </w:tc>
        <w:tc>
          <w:tcPr>
            <w:tcW w:w="1313"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校级重点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7</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实践育人精品项目</w:t>
            </w:r>
          </w:p>
        </w:tc>
        <w:tc>
          <w:tcPr>
            <w:tcW w:w="515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“救在身边,志愿同行”实践育人项目探索与实施</w:t>
            </w:r>
          </w:p>
        </w:tc>
        <w:tc>
          <w:tcPr>
            <w:tcW w:w="1919"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JSUSZJP202402</w:t>
            </w:r>
          </w:p>
        </w:tc>
        <w:tc>
          <w:tcPr>
            <w:tcW w:w="1206"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张晓阳</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教师</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8</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辅导员骨干研究项目</w:t>
            </w:r>
          </w:p>
        </w:tc>
        <w:tc>
          <w:tcPr>
            <w:tcW w:w="5152" w:type="dxa"/>
            <w:noWrap w:val="0"/>
            <w:vAlign w:val="center"/>
          </w:tcPr>
          <w:p>
            <w:pPr>
              <w:snapToGrid w:val="0"/>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sz w:val="24"/>
                <w:szCs w:val="24"/>
                <w:lang w:val="en-US" w:eastAsia="zh-CN"/>
              </w:rPr>
              <w:t>数智时代高校网络舆情的舆论引导困境与应对策略研究</w:t>
            </w:r>
          </w:p>
        </w:tc>
        <w:tc>
          <w:tcPr>
            <w:tcW w:w="1919"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JSUSZGG202403</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张  洁</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教师</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9</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辅导员骨干研究项目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乡村振兴背景下高校资助育人工作对就业能力提升的对策研究</w:t>
            </w:r>
          </w:p>
        </w:tc>
        <w:tc>
          <w:tcPr>
            <w:tcW w:w="1919"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JSUSZGG202404</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哈米拉提·买合木提</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教师</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10</w:t>
            </w:r>
          </w:p>
        </w:tc>
        <w:tc>
          <w:tcPr>
            <w:tcW w:w="2732"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sz w:val="24"/>
                <w:szCs w:val="24"/>
                <w:lang w:val="en-US" w:eastAsia="zh-CN"/>
              </w:rPr>
              <w:t>湘西地区高校学生心理健康素养提升策略研究</w:t>
            </w:r>
          </w:p>
        </w:tc>
        <w:tc>
          <w:tcPr>
            <w:tcW w:w="1919"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JSUSZYJ202404</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贾茜茜</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教师</w:t>
            </w:r>
          </w:p>
        </w:tc>
        <w:tc>
          <w:tcPr>
            <w:tcW w:w="1313"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11</w:t>
            </w:r>
          </w:p>
        </w:tc>
        <w:tc>
          <w:tcPr>
            <w:tcW w:w="2732"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sz w:val="24"/>
                <w:szCs w:val="24"/>
                <w:lang w:val="en-US" w:eastAsia="zh-CN"/>
              </w:rPr>
              <w:t>民族地区高校“民族文</w:t>
            </w:r>
            <w:r>
              <w:rPr>
                <w:rFonts w:hint="eastAsia" w:eastAsia="仿宋_GB2312" w:cs="Times New Roman"/>
                <w:b w:val="0"/>
                <w:bCs w:val="0"/>
                <w:sz w:val="24"/>
                <w:szCs w:val="24"/>
                <w:lang w:val="en-US" w:eastAsia="zh-CN"/>
              </w:rPr>
              <w:t>化+</w:t>
            </w:r>
            <w:r>
              <w:rPr>
                <w:rFonts w:hint="eastAsia" w:ascii="Times New Roman" w:hAnsi="Times New Roman" w:eastAsia="仿宋_GB2312" w:cs="Times New Roman"/>
                <w:b w:val="0"/>
                <w:bCs w:val="0"/>
                <w:sz w:val="24"/>
                <w:szCs w:val="24"/>
                <w:lang w:val="en-US" w:eastAsia="zh-CN"/>
              </w:rPr>
              <w:t>思政教育”的实践路径研究</w:t>
            </w:r>
          </w:p>
        </w:tc>
        <w:tc>
          <w:tcPr>
            <w:tcW w:w="1919"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JSUSZYJ202405</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郝书漫</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教师</w:t>
            </w:r>
          </w:p>
        </w:tc>
        <w:tc>
          <w:tcPr>
            <w:tcW w:w="1313"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12</w:t>
            </w:r>
          </w:p>
        </w:tc>
        <w:tc>
          <w:tcPr>
            <w:tcW w:w="2732"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“一站式”学生社区视域下高校学生党员教育管理工作路径研究</w:t>
            </w:r>
          </w:p>
        </w:tc>
        <w:tc>
          <w:tcPr>
            <w:tcW w:w="1919"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JSUSZYJ202406</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张晓阳</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教师</w:t>
            </w:r>
          </w:p>
        </w:tc>
        <w:tc>
          <w:tcPr>
            <w:tcW w:w="1313"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13</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sz w:val="24"/>
                <w:szCs w:val="24"/>
                <w:lang w:val="en-US" w:eastAsia="zh-CN"/>
              </w:rPr>
              <w:t>“大思政课”视域下师范生教育家精神培育研究</w:t>
            </w:r>
          </w:p>
        </w:tc>
        <w:tc>
          <w:tcPr>
            <w:tcW w:w="1919"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JSUSZYJ202407</w:t>
            </w:r>
          </w:p>
        </w:tc>
        <w:tc>
          <w:tcPr>
            <w:tcW w:w="1206" w:type="dxa"/>
            <w:noWrap w:val="0"/>
            <w:vAlign w:val="center"/>
          </w:tcPr>
          <w:p>
            <w:pPr>
              <w:snapToGrid w:val="0"/>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sz w:val="24"/>
                <w:szCs w:val="24"/>
                <w:lang w:val="en-US" w:eastAsia="zh-CN"/>
              </w:rPr>
              <w:t>黄 婷</w:t>
            </w:r>
          </w:p>
        </w:tc>
        <w:tc>
          <w:tcPr>
            <w:tcW w:w="1117"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14</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sz w:val="24"/>
                <w:szCs w:val="24"/>
                <w:lang w:val="en-US" w:eastAsia="zh-CN"/>
              </w:rPr>
              <w:t>习近平文化思想的实践性研究</w:t>
            </w:r>
          </w:p>
        </w:tc>
        <w:tc>
          <w:tcPr>
            <w:tcW w:w="1919"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JSUSZYJ202408</w:t>
            </w:r>
          </w:p>
        </w:tc>
        <w:tc>
          <w:tcPr>
            <w:tcW w:w="1206" w:type="dxa"/>
            <w:noWrap w:val="0"/>
            <w:vAlign w:val="center"/>
          </w:tcPr>
          <w:p>
            <w:pPr>
              <w:snapToGrid w:val="0"/>
              <w:jc w:val="center"/>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sz w:val="24"/>
                <w:szCs w:val="24"/>
                <w:lang w:val="en-US" w:eastAsia="zh-CN"/>
              </w:rPr>
              <w:t>康 珏</w:t>
            </w:r>
          </w:p>
        </w:tc>
        <w:tc>
          <w:tcPr>
            <w:tcW w:w="1117"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15</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习近平文化思想的科学性研究</w:t>
            </w:r>
          </w:p>
        </w:tc>
        <w:tc>
          <w:tcPr>
            <w:tcW w:w="1919"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JSUSZYJ202409</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陈</w:t>
            </w:r>
            <w:r>
              <w:rPr>
                <w:rFonts w:hint="eastAsia"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安</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16</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湘西地区红色文化资源融入“中国近现代史纲要”课实践教学创新研究</w:t>
            </w:r>
          </w:p>
        </w:tc>
        <w:tc>
          <w:tcPr>
            <w:tcW w:w="1919"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JSUSZYJ202410</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池荣迪</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17</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教育家精神融入师范生思想政治教育研究</w:t>
            </w:r>
          </w:p>
        </w:tc>
        <w:tc>
          <w:tcPr>
            <w:tcW w:w="1919"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JSUSZYJ202411</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何小红</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18</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color w:val="auto"/>
                <w:sz w:val="24"/>
                <w:szCs w:val="24"/>
                <w:lang w:val="en-US" w:eastAsia="zh-CN"/>
              </w:rPr>
              <w:t>习近平文化思想的原创性</w:t>
            </w:r>
            <w:r>
              <w:rPr>
                <w:rFonts w:hint="eastAsia" w:eastAsia="仿宋_GB2312" w:cs="Times New Roman"/>
                <w:color w:val="auto"/>
                <w:sz w:val="24"/>
                <w:szCs w:val="24"/>
                <w:lang w:val="en-US" w:eastAsia="zh-CN"/>
              </w:rPr>
              <w:t>贡献</w:t>
            </w:r>
            <w:r>
              <w:rPr>
                <w:rFonts w:hint="eastAsia" w:ascii="Times New Roman" w:hAnsi="Times New Roman" w:eastAsia="仿宋_GB2312" w:cs="Times New Roman"/>
                <w:color w:val="auto"/>
                <w:sz w:val="24"/>
                <w:szCs w:val="24"/>
                <w:lang w:val="en-US" w:eastAsia="zh-CN"/>
              </w:rPr>
              <w:t>研究</w:t>
            </w:r>
          </w:p>
        </w:tc>
        <w:tc>
          <w:tcPr>
            <w:tcW w:w="1919"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JSUSZYJ202412</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罗丽青</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19</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“大思政”视域下高校心理育人理论和路径研究</w:t>
            </w:r>
          </w:p>
        </w:tc>
        <w:tc>
          <w:tcPr>
            <w:tcW w:w="1919"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JSUSZYJ202413</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桑旭红</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20</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乐商教育在高校思政课中的价值意蕴与实施路径探析</w:t>
            </w:r>
          </w:p>
        </w:tc>
        <w:tc>
          <w:tcPr>
            <w:tcW w:w="1919"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JSUSZYJ202414</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石红梅</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21</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新时代高校思政课教师意识形态传播能力建设研究</w:t>
            </w:r>
          </w:p>
        </w:tc>
        <w:tc>
          <w:tcPr>
            <w:tcW w:w="1919"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JSUSZYJ202415</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唐芳芳</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22</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习近平文化思想的传承性研究</w:t>
            </w:r>
          </w:p>
        </w:tc>
        <w:tc>
          <w:tcPr>
            <w:tcW w:w="1919"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JSUSZYJ202416</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童毓茜</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23</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中国共产党创建时期马克思主义在湘西的传播研究</w:t>
            </w:r>
          </w:p>
        </w:tc>
        <w:tc>
          <w:tcPr>
            <w:tcW w:w="1919"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JSUSZYJ202417</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向鸿靖</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24</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习近平文化思想的开放性研究</w:t>
            </w:r>
          </w:p>
        </w:tc>
        <w:tc>
          <w:tcPr>
            <w:tcW w:w="1919"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JSUSZYJ202418</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赵</w:t>
            </w:r>
            <w:r>
              <w:rPr>
                <w:rFonts w:hint="eastAsia"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玉</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25</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新时代大学生科学家精神的培育研究</w:t>
            </w:r>
          </w:p>
        </w:tc>
        <w:tc>
          <w:tcPr>
            <w:tcW w:w="1919"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JSUSZYJ202419</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周巧睿</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26</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习近平文化思想的人民性研究</w:t>
            </w:r>
          </w:p>
        </w:tc>
        <w:tc>
          <w:tcPr>
            <w:tcW w:w="1919"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JSUSZYJ202420</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古权华</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27</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default"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新媒体视域下高校意识形态工作的路径研究</w:t>
            </w:r>
          </w:p>
        </w:tc>
        <w:tc>
          <w:tcPr>
            <w:tcW w:w="1919"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JSUSZYJ202421</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张明慧</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28</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default"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大中小学思想政治教育一体化的环境塑造</w:t>
            </w:r>
            <w:r>
              <w:rPr>
                <w:rFonts w:hint="eastAsia" w:eastAsia="仿宋_GB2312" w:cs="Times New Roman"/>
                <w:sz w:val="24"/>
                <w:szCs w:val="24"/>
                <w:lang w:val="en-US" w:eastAsia="zh-CN"/>
              </w:rPr>
              <w:t>研究</w:t>
            </w:r>
          </w:p>
        </w:tc>
        <w:tc>
          <w:tcPr>
            <w:tcW w:w="1919"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JSUSZYJ202422</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郭</w:t>
            </w:r>
            <w:r>
              <w:rPr>
                <w:rFonts w:hint="eastAsia"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维</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29</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default"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高校思政课程与课程思政协同育人建设路径探究</w:t>
            </w:r>
          </w:p>
        </w:tc>
        <w:tc>
          <w:tcPr>
            <w:tcW w:w="1919"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JSUSZYJ202423</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黄</w:t>
            </w:r>
            <w:r>
              <w:rPr>
                <w:rFonts w:hint="eastAsia"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瑶</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30</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default"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馆校联动机制助力“大思政课”建设研究</w:t>
            </w:r>
          </w:p>
        </w:tc>
        <w:tc>
          <w:tcPr>
            <w:tcW w:w="1919"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JSUSZYJ202424</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李</w:t>
            </w:r>
            <w:r>
              <w:rPr>
                <w:rFonts w:hint="eastAsia"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沛</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31</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default"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思想道德与法治课关注人、培养人和发展人的价值意义和实践路径</w:t>
            </w:r>
          </w:p>
        </w:tc>
        <w:tc>
          <w:tcPr>
            <w:tcW w:w="1919"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JSUSZYJ202425</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王晓敏</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32</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default"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湘西红色资源融入高校思政课教学的价值及路径研究</w:t>
            </w:r>
          </w:p>
        </w:tc>
        <w:tc>
          <w:tcPr>
            <w:tcW w:w="1919"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JSUSZYJ202426</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张润丽</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33</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default"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《“四史”教育与大学生理想信念的培养—历史认知与价值依归》</w:t>
            </w:r>
          </w:p>
        </w:tc>
        <w:tc>
          <w:tcPr>
            <w:tcW w:w="1919"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JSUSZYJ202427</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张心雨</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34</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default"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新时代大学生理想信念教育日常化生活化的实践路径研究</w:t>
            </w:r>
          </w:p>
        </w:tc>
        <w:tc>
          <w:tcPr>
            <w:tcW w:w="1919"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JSUSZYJ202428</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邹</w:t>
            </w:r>
            <w:r>
              <w:rPr>
                <w:rFonts w:hint="eastAsia"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方</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35</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default"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劳动教育融入大学生思想政治教育的实践路径研究</w:t>
            </w:r>
          </w:p>
        </w:tc>
        <w:tc>
          <w:tcPr>
            <w:tcW w:w="1919"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JSUSZYJ202429</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闫科璇</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jc w:val="center"/>
        </w:trPr>
        <w:tc>
          <w:tcPr>
            <w:tcW w:w="731" w:type="dxa"/>
            <w:noWrap w:val="0"/>
            <w:vAlign w:val="center"/>
          </w:tcPr>
          <w:p>
            <w:pPr>
              <w:snapToGrid w:val="0"/>
              <w:jc w:val="center"/>
              <w:rPr>
                <w:rFonts w:hint="default" w:eastAsia="仿宋_GB2312"/>
                <w:sz w:val="24"/>
                <w:szCs w:val="24"/>
                <w:lang w:val="en-US" w:eastAsia="zh-CN"/>
              </w:rPr>
            </w:pPr>
            <w:r>
              <w:rPr>
                <w:rFonts w:hint="eastAsia" w:eastAsia="仿宋_GB2312"/>
                <w:sz w:val="24"/>
                <w:szCs w:val="24"/>
                <w:lang w:val="en-US" w:eastAsia="zh-CN"/>
              </w:rPr>
              <w:t>36</w:t>
            </w:r>
          </w:p>
        </w:tc>
        <w:tc>
          <w:tcPr>
            <w:tcW w:w="2732"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default" w:eastAsia="仿宋_GB2312"/>
                <w:sz w:val="24"/>
                <w:szCs w:val="24"/>
                <w:lang w:val="en-US" w:eastAsia="zh-CN"/>
              </w:rPr>
              <w:t>思想政治教育研究项目</w:t>
            </w:r>
          </w:p>
        </w:tc>
        <w:tc>
          <w:tcPr>
            <w:tcW w:w="5152"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“大思政课”视域下历史教育融入高校思政课的价值及路径研究</w:t>
            </w:r>
          </w:p>
        </w:tc>
        <w:tc>
          <w:tcPr>
            <w:tcW w:w="1919" w:type="dxa"/>
            <w:noWrap w:val="0"/>
            <w:vAlign w:val="center"/>
          </w:tcPr>
          <w:p>
            <w:pPr>
              <w:snapToGrid w:val="0"/>
              <w:jc w:val="center"/>
              <w:rPr>
                <w:rFonts w:hint="default"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JSUSZYJ202430</w:t>
            </w:r>
          </w:p>
        </w:tc>
        <w:tc>
          <w:tcPr>
            <w:tcW w:w="1206" w:type="dxa"/>
            <w:noWrap w:val="0"/>
            <w:vAlign w:val="center"/>
          </w:tcPr>
          <w:p>
            <w:pPr>
              <w:snapToGrid w:val="0"/>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 xml:space="preserve">罗烨婷 </w:t>
            </w:r>
          </w:p>
        </w:tc>
        <w:tc>
          <w:tcPr>
            <w:tcW w:w="1117"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学生</w:t>
            </w:r>
          </w:p>
        </w:tc>
        <w:tc>
          <w:tcPr>
            <w:tcW w:w="1313" w:type="dxa"/>
            <w:noWrap w:val="0"/>
            <w:vAlign w:val="center"/>
          </w:tcPr>
          <w:p>
            <w:pPr>
              <w:snapToGrid w:val="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val="en-US" w:eastAsia="zh-CN"/>
              </w:rPr>
              <w:t>校级</w:t>
            </w:r>
          </w:p>
        </w:tc>
      </w:tr>
    </w:tbl>
    <w:p>
      <w:pPr>
        <w:snapToGrid w:val="0"/>
        <w:jc w:val="center"/>
        <w:rPr>
          <w:rFonts w:hint="eastAsia" w:eastAsia="仿宋_GB2312"/>
          <w:sz w:val="24"/>
          <w:szCs w:val="24"/>
          <w:lang w:val="en-US" w:eastAsia="zh-CN"/>
        </w:rPr>
      </w:pP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B68EE"/>
    <w:rsid w:val="155F0886"/>
    <w:rsid w:val="276620C7"/>
    <w:rsid w:val="2D595ADE"/>
    <w:rsid w:val="36E1718D"/>
    <w:rsid w:val="3A670952"/>
    <w:rsid w:val="3B8376B4"/>
    <w:rsid w:val="3FC474EB"/>
    <w:rsid w:val="4326159D"/>
    <w:rsid w:val="47295C47"/>
    <w:rsid w:val="59FE21AE"/>
    <w:rsid w:val="5EEE4723"/>
    <w:rsid w:val="6A295CAB"/>
    <w:rsid w:val="7DA9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2023-03-24T02:26:00Z</dcterms:created>
  <dc:creator>Administrator.DESKTOP-6SN7506</dc:creator>
  <cp:lastModifiedBy>苏苏</cp:lastModifiedBy>
  <cp:lastPrinted>2023-08-16T04:36:00Z</cp:lastPrinted>
  <dcterms:modified xsi:type="dcterms:W3CDTF">2024-06-24T08:38:54Z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